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/>
        <w:jc w:val="center"/>
        <w:rPr>
          <w:rFonts w:ascii="Calibri" w:eastAsia="Times New Roman" w:hAnsi="Calibri" w:cs="Calibri"/>
          <w:b/>
          <w:caps/>
          <w:color w:val="1F497D" w:themeColor="text2"/>
          <w:kern w:val="36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caps/>
          <w:color w:val="1F497D" w:themeColor="text2"/>
          <w:kern w:val="36"/>
          <w:sz w:val="32"/>
          <w:szCs w:val="32"/>
          <w:lang w:eastAsia="cs-CZ"/>
        </w:rPr>
        <w:t xml:space="preserve">Řešení DopadŮ krizových opatření Vlády ČR na plnění povinností poskytovatelů sociálních služeb v roce 2020 Z DŮVODU </w:t>
      </w:r>
      <w:bookmarkStart w:id="0" w:name="_GoBack"/>
      <w:bookmarkEnd w:id="0"/>
      <w:r>
        <w:rPr>
          <w:rFonts w:ascii="Calibri" w:eastAsia="Times New Roman" w:hAnsi="Calibri" w:cs="Calibri"/>
          <w:b/>
          <w:caps/>
          <w:color w:val="1F497D" w:themeColor="text2"/>
          <w:kern w:val="36"/>
          <w:sz w:val="32"/>
          <w:szCs w:val="32"/>
          <w:lang w:eastAsia="cs-CZ"/>
        </w:rPr>
        <w:t>výskytu 1. vlny koronaviru</w:t>
      </w:r>
    </w:p>
    <w:p>
      <w:pPr>
        <w:pStyle w:val="Norma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>
      <w:pPr>
        <w:pStyle w:val="Defaul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Řešení dopadu pro sociální služby druhu: centra denních služeb, denní stacionáře, nízkoprahová zařízení pro děti a mládež, sociálně aktivizační služby pro rodiny s dětmi, sociálně aktivizační </w:t>
      </w:r>
      <w:r>
        <w:rPr>
          <w:rFonts w:asciiTheme="minorHAnsi" w:hAnsiTheme="minorHAnsi" w:cstheme="minorHAnsi"/>
          <w:color w:val="auto"/>
          <w:spacing w:val="-4"/>
          <w:sz w:val="22"/>
          <w:szCs w:val="22"/>
          <w:u w:val="single"/>
        </w:rPr>
        <w:t>služby pro seniory a osoby se zdravotním postižením, sociálně terapeutické dílny, týdenní stacionáře</w:t>
      </w:r>
    </w:p>
    <w:p>
      <w:pPr>
        <w:pStyle w:val="Default"/>
        <w:spacing w:after="120" w:line="276" w:lineRule="auto"/>
        <w:ind w:left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Na splnění podmínky v uzavřené Veřejnoprávní smlouvě popř. vydaném Rozhodnutí uvedené v článku III. odstavci 2. ve znění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„Při naplnění indikátoru/ů uvedeného/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</w:rPr>
        <w:t>ých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v příloze č. 1 této Smlouvy popř. Rozhodnutí alespoň na 80 % se finanční podpora nekrátí. Při naplnění indikátoru/ů na méně než 80 %, ale alespoň na 50 %, bude finanční podpora snížena o 1 % - 30 % dle rozdílu mezi spodní hranicí tolerovaného nenaplnění a dosaženým procentem naplnění indikátoru/ů. Naplnění indikátoru/ů na méně než 50 % se považuje za nesplnění závazku ze strany Poskytovatele sociální služby dle Pověření a je důvodem pro vrácení finanční podpory v plné výši“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se netrvá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. Kraj považuje za splnění podmínek stanovených uzavřenou Veřejnoprávní smlouvou popř. vydaným Rozhodnutím, naplněním indikátoru/ů uvedeného/</w:t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ých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v příloze č. 1 Smlouvy popř. Rozhodnutí alespoň na 30 %, finanční podpora nebude krácena. Naplnění indikátoru/ů na méně než 30 % bude považováno za nesplnění závazku ze strany Poskytovatele sociální služby dle Pověření a bude důvodem pro vrácení finanční podpory v plné výši.</w:t>
      </w:r>
    </w:p>
    <w:p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Defaul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Řešení dopadu pro sociální služby druhu: domovy pro seniory, domovy pro osoby se zdravotním postižením, domovy se zvláštním režimem, odlehčovací služby (pobytová forma)</w:t>
      </w:r>
    </w:p>
    <w:p>
      <w:pPr>
        <w:pStyle w:val="Defaul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splnění výše indikátoru/ů  stanoveného/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ých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v příloze č. 1 uzavřené Veřejnoprávní smlouvy popř. vydaného Rozhodnutí ve sloupci „Indikátor (Minimální výše)“, tzn. 100 %,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se netrvá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Kraj považuje za splnění podmínek stanovených uzavřenou Veřejnoprávní smlouvou popř. vydaným Rozhodnutím naplněn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b/>
          <w:sz w:val="22"/>
          <w:szCs w:val="22"/>
        </w:rPr>
        <w:t xml:space="preserve"> daného/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ých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indikátor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u/ů</w:t>
      </w:r>
      <w:r>
        <w:rPr>
          <w:rFonts w:asciiTheme="minorHAnsi" w:hAnsiTheme="minorHAnsi" w:cstheme="minorHAnsi"/>
          <w:b/>
          <w:sz w:val="22"/>
          <w:szCs w:val="22"/>
        </w:rPr>
        <w:t xml:space="preserve"> alespoň na 80 %. Ostatní ustanovení uzavřené Veřejnoprávní smlouvy popř. vydaného Rozhodnutí zůstávají nezměněna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Při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naplnění indikátoru/ů na méně než upravený indikátor (tzn. 80 %), bude postupováno v souladu s článkem III. </w:t>
      </w:r>
      <w:r>
        <w:rPr>
          <w:rFonts w:asciiTheme="minorHAnsi" w:hAnsiTheme="minorHAnsi" w:cstheme="minorHAnsi"/>
          <w:b/>
          <w:spacing w:val="-4"/>
          <w:sz w:val="22"/>
          <w:szCs w:val="22"/>
        </w:rPr>
        <w:t xml:space="preserve">odstavcem 2. Veřejnoprávní smlouvy popř. Rozhodnutí. </w:t>
      </w:r>
      <w:r>
        <w:rPr>
          <w:rFonts w:asciiTheme="minorHAnsi" w:hAnsiTheme="minorHAnsi" w:cstheme="minorHAnsi"/>
          <w:b/>
          <w:spacing w:val="-6"/>
          <w:sz w:val="22"/>
          <w:szCs w:val="22"/>
        </w:rPr>
        <w:t>Nenaplnění upraveného indikátoru bude považováno za nesplnění závazku ze strany Poskytovatele</w:t>
      </w:r>
      <w:r>
        <w:rPr>
          <w:rFonts w:asciiTheme="minorHAnsi" w:hAnsiTheme="minorHAnsi" w:cstheme="minorHAnsi"/>
          <w:b/>
          <w:sz w:val="22"/>
          <w:szCs w:val="22"/>
        </w:rPr>
        <w:t xml:space="preserve"> sociální služby dle Pověření a bude důvodem pro vrácení finanční podpory v plné výši. </w:t>
      </w:r>
    </w:p>
    <w:p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výše uvedených dvou řešení nebudou uzavírány Dodatky k Veřejnoprávním smlouvám popř. vydávány Dodatky k Rozhodnutím.</w:t>
      </w:r>
    </w:p>
    <w:p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u w:val="single"/>
        </w:rPr>
      </w:pPr>
    </w:p>
    <w:p>
      <w:pPr>
        <w:pStyle w:val="Defaul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Řešení dopadu pro sociální služby v oblasti veřejnosprávní kontroly na místě</w:t>
      </w:r>
    </w:p>
    <w:p>
      <w:pPr>
        <w:pStyle w:val="Default"/>
        <w:spacing w:after="120"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Dojde-li v rámci veřejnosprávní kontroly na místě ke zjištění chybně vykázaného/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ých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indikátoru/ů za období trvání krizových opatření Vlády ČR z důvodu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koronaviru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tak v případě nenaplnění mezní hodnoty kontrolovaného/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ých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indikátoru/ů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nebudou uplatněny sankce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>
      <w:pPr>
        <w:pStyle w:val="Default"/>
        <w:spacing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Výše uvedená tři řešení se netýkají Veřejnoprávních smluv, popř. Rozhodnutí, uzavřených popř. vydaných po 1. červnu 2020.</w:t>
      </w:r>
    </w:p>
    <w:sectPr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442"/>
    <w:multiLevelType w:val="hybridMultilevel"/>
    <w:tmpl w:val="8E62B59A"/>
    <w:lvl w:ilvl="0" w:tplc="B0FE6B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0248A"/>
    <w:multiLevelType w:val="hybridMultilevel"/>
    <w:tmpl w:val="4468A40E"/>
    <w:lvl w:ilvl="0" w:tplc="2C482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B2B"/>
    <w:multiLevelType w:val="hybridMultilevel"/>
    <w:tmpl w:val="5FBE6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D813D0">
      <w:numFmt w:val="bullet"/>
      <w:lvlText w:val="–"/>
      <w:lvlJc w:val="left"/>
      <w:pPr>
        <w:ind w:left="1440" w:hanging="360"/>
      </w:pPr>
      <w:rPr>
        <w:rFonts w:ascii="Calibri" w:eastAsia="Batang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837E2"/>
    <w:multiLevelType w:val="hybridMultilevel"/>
    <w:tmpl w:val="1C1CD28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AB02A97"/>
    <w:multiLevelType w:val="hybridMultilevel"/>
    <w:tmpl w:val="338C0F8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266231"/>
    <w:multiLevelType w:val="hybridMultilevel"/>
    <w:tmpl w:val="47CCE7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50DD3"/>
    <w:multiLevelType w:val="hybridMultilevel"/>
    <w:tmpl w:val="2A44EBCA"/>
    <w:lvl w:ilvl="0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674D343F"/>
    <w:multiLevelType w:val="hybridMultilevel"/>
    <w:tmpl w:val="4FFCF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094B"/>
    <w:multiLevelType w:val="hybridMultilevel"/>
    <w:tmpl w:val="55EE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B09EC"/>
    <w:multiLevelType w:val="hybridMultilevel"/>
    <w:tmpl w:val="AB265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372D3"/>
    <w:multiLevelType w:val="hybridMultilevel"/>
    <w:tmpl w:val="9DDCA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B13BB"/>
    <w:multiLevelType w:val="hybridMultilevel"/>
    <w:tmpl w:val="2F20473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70C09-8392-443F-8CCE-1342E20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Normal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krahulikova</dc:creator>
  <cp:lastModifiedBy>Vykoukalová Miroslava</cp:lastModifiedBy>
  <cp:revision>68</cp:revision>
  <cp:lastPrinted>2013-03-12T07:44:00Z</cp:lastPrinted>
  <dcterms:created xsi:type="dcterms:W3CDTF">2014-09-30T06:11:00Z</dcterms:created>
  <dcterms:modified xsi:type="dcterms:W3CDTF">2020-12-15T11:46:00Z</dcterms:modified>
</cp:coreProperties>
</file>